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67BA" w14:textId="77777777" w:rsidR="00583F0C" w:rsidRDefault="00583F0C" w:rsidP="00583F0C">
      <w:pPr>
        <w:jc w:val="right"/>
      </w:pPr>
      <w:bookmarkStart w:id="0" w:name="_Hlk215924545"/>
      <w:r>
        <w:rPr>
          <w:noProof/>
        </w:rPr>
        <w:drawing>
          <wp:inline distT="0" distB="0" distL="0" distR="0" wp14:anchorId="082CF197" wp14:editId="3ACFB276">
            <wp:extent cx="1746250" cy="417643"/>
            <wp:effectExtent l="0" t="0" r="0" b="0"/>
            <wp:docPr id="1247858184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858184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586" cy="41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E2FE0" w14:textId="77777777" w:rsidR="00583F0C" w:rsidRDefault="00583F0C" w:rsidP="00583F0C"/>
    <w:p w14:paraId="55F9BC40" w14:textId="0B116796" w:rsidR="00671B18" w:rsidRPr="00583F0C" w:rsidRDefault="00583F0C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 xml:space="preserve">AUXO ACADEMY — </w:t>
      </w:r>
      <w:bookmarkEnd w:id="0"/>
      <w:r w:rsidR="000E251D">
        <w:rPr>
          <w:rFonts w:ascii="Century Gothic" w:hAnsi="Century Gothic"/>
        </w:rPr>
        <w:t>Buyer-Ready Checklist</w:t>
      </w:r>
      <w:r w:rsidR="00000000" w:rsidRPr="00583F0C">
        <w:rPr>
          <w:rFonts w:ascii="Century Gothic" w:hAnsi="Century Gothic"/>
        </w:rPr>
        <w:br/>
      </w:r>
    </w:p>
    <w:p w14:paraId="68B7C6AD" w14:textId="77777777" w:rsidR="00671B18" w:rsidRPr="00583F0C" w:rsidRDefault="00000000">
      <w:pPr>
        <w:pStyle w:val="Heading2"/>
        <w:rPr>
          <w:rFonts w:ascii="Century Gothic" w:hAnsi="Century Gothic"/>
          <w:color w:val="auto"/>
          <w:sz w:val="22"/>
          <w:szCs w:val="22"/>
        </w:rPr>
      </w:pPr>
      <w:r w:rsidRPr="00583F0C">
        <w:rPr>
          <w:rFonts w:ascii="Century Gothic" w:hAnsi="Century Gothic"/>
          <w:color w:val="auto"/>
          <w:sz w:val="22"/>
          <w:szCs w:val="22"/>
        </w:rPr>
        <w:t>1. Financial Readiness</w:t>
      </w:r>
    </w:p>
    <w:p w14:paraId="6D4DDC79" w14:textId="15F1B291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Financials are accurate, consistent, and professionally prepared</w:t>
      </w:r>
    </w:p>
    <w:p w14:paraId="5F0FF0F0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SDE is clearly calculated and defensible</w:t>
      </w:r>
    </w:p>
    <w:p w14:paraId="019AFF15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Addbacks are reasonable and documented</w:t>
      </w:r>
    </w:p>
    <w:p w14:paraId="32387E94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No commingled personal and business expenses</w:t>
      </w:r>
    </w:p>
    <w:p w14:paraId="3C5CC537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Year-over-year trends are explainable</w:t>
      </w:r>
    </w:p>
    <w:p w14:paraId="4E069EF7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Revenue is predictable</w:t>
      </w:r>
    </w:p>
    <w:p w14:paraId="6F0D52ED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Clean balance sheet</w:t>
      </w:r>
    </w:p>
    <w:p w14:paraId="6D334F32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Tax filings match internal financials</w:t>
      </w:r>
    </w:p>
    <w:p w14:paraId="6472302A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Notes:</w:t>
      </w:r>
      <w:r w:rsidRPr="00583F0C">
        <w:rPr>
          <w:rFonts w:ascii="Century Gothic" w:hAnsi="Century Gothic"/>
        </w:rPr>
        <w:br/>
        <w:t>______________________________</w:t>
      </w:r>
      <w:r w:rsidRPr="00583F0C">
        <w:rPr>
          <w:rFonts w:ascii="Century Gothic" w:hAnsi="Century Gothic"/>
        </w:rPr>
        <w:br/>
      </w:r>
    </w:p>
    <w:p w14:paraId="0BAEB6F8" w14:textId="77777777" w:rsidR="00671B18" w:rsidRPr="00583F0C" w:rsidRDefault="00000000">
      <w:pPr>
        <w:pStyle w:val="Heading2"/>
        <w:rPr>
          <w:rFonts w:ascii="Century Gothic" w:hAnsi="Century Gothic"/>
          <w:color w:val="auto"/>
          <w:sz w:val="22"/>
          <w:szCs w:val="22"/>
        </w:rPr>
      </w:pPr>
      <w:r w:rsidRPr="00583F0C">
        <w:rPr>
          <w:rFonts w:ascii="Century Gothic" w:hAnsi="Century Gothic"/>
          <w:color w:val="auto"/>
          <w:sz w:val="22"/>
          <w:szCs w:val="22"/>
        </w:rPr>
        <w:t>2. Operational &amp; Systems Readiness</w:t>
      </w:r>
    </w:p>
    <w:p w14:paraId="48ADF74C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Core processes are documented (SOPs)</w:t>
      </w:r>
    </w:p>
    <w:p w14:paraId="54F50915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Day-to-day operations do not rely on the owner</w:t>
      </w:r>
    </w:p>
    <w:p w14:paraId="576A48BD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Management or key employees run daily execution</w:t>
      </w:r>
    </w:p>
    <w:p w14:paraId="237559E5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Systems are repeatable and scalable</w:t>
      </w:r>
    </w:p>
    <w:p w14:paraId="68067ADC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Quality control processes are defined</w:t>
      </w:r>
    </w:p>
    <w:p w14:paraId="5BA42D80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Admin, billing, and scheduling systems are standardized</w:t>
      </w:r>
    </w:p>
    <w:p w14:paraId="447270B3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Notes:</w:t>
      </w:r>
      <w:r w:rsidRPr="00583F0C">
        <w:rPr>
          <w:rFonts w:ascii="Century Gothic" w:hAnsi="Century Gothic"/>
        </w:rPr>
        <w:br/>
        <w:t>______________________________</w:t>
      </w:r>
      <w:r w:rsidRPr="00583F0C">
        <w:rPr>
          <w:rFonts w:ascii="Century Gothic" w:hAnsi="Century Gothic"/>
        </w:rPr>
        <w:br/>
      </w:r>
    </w:p>
    <w:p w14:paraId="755A5DC3" w14:textId="77777777" w:rsidR="00671B18" w:rsidRPr="00583F0C" w:rsidRDefault="00000000">
      <w:pPr>
        <w:pStyle w:val="Heading2"/>
        <w:rPr>
          <w:rFonts w:ascii="Century Gothic" w:hAnsi="Century Gothic"/>
          <w:color w:val="auto"/>
          <w:sz w:val="22"/>
          <w:szCs w:val="22"/>
        </w:rPr>
      </w:pPr>
      <w:r w:rsidRPr="00583F0C">
        <w:rPr>
          <w:rFonts w:ascii="Century Gothic" w:hAnsi="Century Gothic"/>
          <w:color w:val="auto"/>
          <w:sz w:val="22"/>
          <w:szCs w:val="22"/>
        </w:rPr>
        <w:t>3. Team &amp; People Readiness</w:t>
      </w:r>
    </w:p>
    <w:p w14:paraId="26CC00C5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Clear org chart and defined roles</w:t>
      </w:r>
    </w:p>
    <w:p w14:paraId="7B465403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lastRenderedPageBreak/>
        <w:t>[ ] Key employees are identified and incentivized</w:t>
      </w:r>
    </w:p>
    <w:p w14:paraId="5411FE1C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No single employee represents excessive risk</w:t>
      </w:r>
    </w:p>
    <w:p w14:paraId="514E5E4C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Training workflows exist for onboarding</w:t>
      </w:r>
    </w:p>
    <w:p w14:paraId="4684798D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Reasonable compensation structures</w:t>
      </w:r>
    </w:p>
    <w:p w14:paraId="6337FE4C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Low or explainable turnover</w:t>
      </w:r>
    </w:p>
    <w:p w14:paraId="76238EE9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Notes:</w:t>
      </w:r>
      <w:r w:rsidRPr="00583F0C">
        <w:rPr>
          <w:rFonts w:ascii="Century Gothic" w:hAnsi="Century Gothic"/>
        </w:rPr>
        <w:br/>
        <w:t>______________________________</w:t>
      </w:r>
      <w:r w:rsidRPr="00583F0C">
        <w:rPr>
          <w:rFonts w:ascii="Century Gothic" w:hAnsi="Century Gothic"/>
        </w:rPr>
        <w:br/>
      </w:r>
    </w:p>
    <w:p w14:paraId="4D2E70A9" w14:textId="77777777" w:rsidR="00671B18" w:rsidRPr="00583F0C" w:rsidRDefault="00000000">
      <w:pPr>
        <w:pStyle w:val="Heading2"/>
        <w:rPr>
          <w:rFonts w:ascii="Century Gothic" w:hAnsi="Century Gothic"/>
          <w:color w:val="auto"/>
          <w:sz w:val="22"/>
          <w:szCs w:val="22"/>
        </w:rPr>
      </w:pPr>
      <w:r w:rsidRPr="00583F0C">
        <w:rPr>
          <w:rFonts w:ascii="Century Gothic" w:hAnsi="Century Gothic"/>
          <w:color w:val="auto"/>
          <w:sz w:val="22"/>
          <w:szCs w:val="22"/>
        </w:rPr>
        <w:t>4. Customer &amp; Revenue Quality</w:t>
      </w:r>
    </w:p>
    <w:p w14:paraId="09A4F284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Customer base is diversified</w:t>
      </w:r>
    </w:p>
    <w:p w14:paraId="17F873BE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No customer concentration risk</w:t>
      </w:r>
    </w:p>
    <w:p w14:paraId="317D05EF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Contracts or repeat buying behavior exist</w:t>
      </w:r>
    </w:p>
    <w:p w14:paraId="2459675C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Pricing is rational and defensible</w:t>
      </w:r>
    </w:p>
    <w:p w14:paraId="14DEFD7B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Sales process is documented</w:t>
      </w:r>
    </w:p>
    <w:p w14:paraId="49AF0EFB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Pipeline visibility exists</w:t>
      </w:r>
    </w:p>
    <w:p w14:paraId="5BDE8EF8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Notes:</w:t>
      </w:r>
      <w:r w:rsidRPr="00583F0C">
        <w:rPr>
          <w:rFonts w:ascii="Century Gothic" w:hAnsi="Century Gothic"/>
        </w:rPr>
        <w:br/>
        <w:t>______________________________</w:t>
      </w:r>
      <w:r w:rsidRPr="00583F0C">
        <w:rPr>
          <w:rFonts w:ascii="Century Gothic" w:hAnsi="Century Gothic"/>
        </w:rPr>
        <w:br/>
      </w:r>
    </w:p>
    <w:p w14:paraId="041FAD7E" w14:textId="77777777" w:rsidR="00671B18" w:rsidRPr="00583F0C" w:rsidRDefault="00000000">
      <w:pPr>
        <w:pStyle w:val="Heading2"/>
        <w:rPr>
          <w:rFonts w:ascii="Century Gothic" w:hAnsi="Century Gothic"/>
          <w:color w:val="auto"/>
          <w:sz w:val="22"/>
          <w:szCs w:val="22"/>
        </w:rPr>
      </w:pPr>
      <w:r w:rsidRPr="00583F0C">
        <w:rPr>
          <w:rFonts w:ascii="Century Gothic" w:hAnsi="Century Gothic"/>
          <w:color w:val="auto"/>
          <w:sz w:val="22"/>
          <w:szCs w:val="22"/>
        </w:rPr>
        <w:t>5. Strategic &amp; Growth Readiness</w:t>
      </w:r>
    </w:p>
    <w:p w14:paraId="4E4F75BE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Clear growth opportunities identified</w:t>
      </w:r>
    </w:p>
    <w:p w14:paraId="5964D1FD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Expansion paths documented</w:t>
      </w:r>
    </w:p>
    <w:p w14:paraId="0BD8BA32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Business is attractive to strategic buyers</w:t>
      </w:r>
    </w:p>
    <w:p w14:paraId="146BB721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Competitive advantages are defensible</w:t>
      </w:r>
    </w:p>
    <w:p w14:paraId="035D31DA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Market position is understood</w:t>
      </w:r>
    </w:p>
    <w:p w14:paraId="294E28E7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Notes:</w:t>
      </w:r>
      <w:r w:rsidRPr="00583F0C">
        <w:rPr>
          <w:rFonts w:ascii="Century Gothic" w:hAnsi="Century Gothic"/>
        </w:rPr>
        <w:br/>
        <w:t>______________________________</w:t>
      </w:r>
      <w:r w:rsidRPr="00583F0C">
        <w:rPr>
          <w:rFonts w:ascii="Century Gothic" w:hAnsi="Century Gothic"/>
        </w:rPr>
        <w:br/>
      </w:r>
    </w:p>
    <w:p w14:paraId="3683DBF1" w14:textId="77777777" w:rsidR="00671B18" w:rsidRPr="00583F0C" w:rsidRDefault="00000000">
      <w:pPr>
        <w:pStyle w:val="Heading2"/>
        <w:rPr>
          <w:rFonts w:ascii="Century Gothic" w:hAnsi="Century Gothic"/>
          <w:color w:val="auto"/>
          <w:sz w:val="22"/>
          <w:szCs w:val="22"/>
        </w:rPr>
      </w:pPr>
      <w:r w:rsidRPr="00583F0C">
        <w:rPr>
          <w:rFonts w:ascii="Century Gothic" w:hAnsi="Century Gothic"/>
          <w:color w:val="auto"/>
          <w:sz w:val="22"/>
          <w:szCs w:val="22"/>
        </w:rPr>
        <w:t>6. Transferability &amp; Risk Reduction</w:t>
      </w:r>
    </w:p>
    <w:p w14:paraId="7B9984F6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Licenses and permits are transferable</w:t>
      </w:r>
    </w:p>
    <w:p w14:paraId="4B8EDE75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lastRenderedPageBreak/>
        <w:t>[ ] Vendor relationships are stable</w:t>
      </w:r>
    </w:p>
    <w:p w14:paraId="42F9098B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Customer relationships are institutional</w:t>
      </w:r>
    </w:p>
    <w:p w14:paraId="66EFE792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Owner transition plan documented</w:t>
      </w:r>
    </w:p>
    <w:p w14:paraId="1C93B038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No hidden legal, operational, or financial surprises</w:t>
      </w:r>
    </w:p>
    <w:p w14:paraId="68DC2890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Notes:</w:t>
      </w:r>
      <w:r w:rsidRPr="00583F0C">
        <w:rPr>
          <w:rFonts w:ascii="Century Gothic" w:hAnsi="Century Gothic"/>
        </w:rPr>
        <w:br/>
        <w:t>______________________________</w:t>
      </w:r>
      <w:r w:rsidRPr="00583F0C">
        <w:rPr>
          <w:rFonts w:ascii="Century Gothic" w:hAnsi="Century Gothic"/>
        </w:rPr>
        <w:br/>
      </w:r>
    </w:p>
    <w:p w14:paraId="610CFC72" w14:textId="77777777" w:rsidR="00671B18" w:rsidRPr="00583F0C" w:rsidRDefault="00000000">
      <w:pPr>
        <w:pStyle w:val="Heading2"/>
        <w:rPr>
          <w:rFonts w:ascii="Century Gothic" w:hAnsi="Century Gothic"/>
          <w:color w:val="auto"/>
          <w:sz w:val="22"/>
          <w:szCs w:val="22"/>
        </w:rPr>
      </w:pPr>
      <w:r w:rsidRPr="00583F0C">
        <w:rPr>
          <w:rFonts w:ascii="Century Gothic" w:hAnsi="Century Gothic"/>
          <w:color w:val="auto"/>
          <w:sz w:val="22"/>
          <w:szCs w:val="22"/>
        </w:rPr>
        <w:t>7. Buyer-Ready Package Completion</w:t>
      </w:r>
    </w:p>
    <w:p w14:paraId="4A3D7CFA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Financial Summary</w:t>
      </w:r>
    </w:p>
    <w:p w14:paraId="33F05B50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Recast SDE Worksheet</w:t>
      </w:r>
    </w:p>
    <w:p w14:paraId="26EBD365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SOP Library</w:t>
      </w:r>
    </w:p>
    <w:p w14:paraId="4019A089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Strategic Plan</w:t>
      </w:r>
    </w:p>
    <w:p w14:paraId="32306F41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Exit Timeline</w:t>
      </w:r>
    </w:p>
    <w:p w14:paraId="0728CF08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Buyer Benefit Summary</w:t>
      </w:r>
    </w:p>
    <w:p w14:paraId="439B2525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Strengths &amp; Opportunities Report</w:t>
      </w:r>
    </w:p>
    <w:p w14:paraId="31ECE1F8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[ ] Risk &amp; Scorecard Assessment</w:t>
      </w:r>
    </w:p>
    <w:p w14:paraId="67A5C5A7" w14:textId="77777777" w:rsidR="00671B18" w:rsidRPr="00583F0C" w:rsidRDefault="00000000">
      <w:pPr>
        <w:rPr>
          <w:rFonts w:ascii="Century Gothic" w:hAnsi="Century Gothic"/>
        </w:rPr>
      </w:pPr>
      <w:r w:rsidRPr="00583F0C">
        <w:rPr>
          <w:rFonts w:ascii="Century Gothic" w:hAnsi="Century Gothic"/>
        </w:rPr>
        <w:t>Notes:</w:t>
      </w:r>
      <w:r w:rsidRPr="00583F0C">
        <w:rPr>
          <w:rFonts w:ascii="Century Gothic" w:hAnsi="Century Gothic"/>
        </w:rPr>
        <w:br/>
        <w:t>______________________________</w:t>
      </w:r>
      <w:r w:rsidRPr="00583F0C">
        <w:rPr>
          <w:rFonts w:ascii="Century Gothic" w:hAnsi="Century Gothic"/>
        </w:rPr>
        <w:br/>
      </w:r>
    </w:p>
    <w:sectPr w:rsidR="00671B18" w:rsidRPr="00583F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128955">
    <w:abstractNumId w:val="8"/>
  </w:num>
  <w:num w:numId="2" w16cid:durableId="381909743">
    <w:abstractNumId w:val="6"/>
  </w:num>
  <w:num w:numId="3" w16cid:durableId="838739904">
    <w:abstractNumId w:val="5"/>
  </w:num>
  <w:num w:numId="4" w16cid:durableId="796801096">
    <w:abstractNumId w:val="4"/>
  </w:num>
  <w:num w:numId="5" w16cid:durableId="1779836876">
    <w:abstractNumId w:val="7"/>
  </w:num>
  <w:num w:numId="6" w16cid:durableId="1763648448">
    <w:abstractNumId w:val="3"/>
  </w:num>
  <w:num w:numId="7" w16cid:durableId="244728159">
    <w:abstractNumId w:val="2"/>
  </w:num>
  <w:num w:numId="8" w16cid:durableId="391852339">
    <w:abstractNumId w:val="1"/>
  </w:num>
  <w:num w:numId="9" w16cid:durableId="147464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251D"/>
    <w:rsid w:val="0015074B"/>
    <w:rsid w:val="0029639D"/>
    <w:rsid w:val="00326F90"/>
    <w:rsid w:val="00583F0C"/>
    <w:rsid w:val="00671B18"/>
    <w:rsid w:val="007B32F2"/>
    <w:rsid w:val="00AA1D8D"/>
    <w:rsid w:val="00B47730"/>
    <w:rsid w:val="00CB0664"/>
    <w:rsid w:val="00EF6F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BFB12"/>
  <w14:defaultImageDpi w14:val="300"/>
  <w15:docId w15:val="{4ED07BBB-4B35-4874-A15A-E85745FA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339</Words>
  <Characters>1895</Characters>
  <Application>Microsoft Office Word</Application>
  <DocSecurity>0</DocSecurity>
  <Lines>75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Jeremy Nevens</cp:lastModifiedBy>
  <cp:revision>4</cp:revision>
  <dcterms:created xsi:type="dcterms:W3CDTF">2013-12-23T23:15:00Z</dcterms:created>
  <dcterms:modified xsi:type="dcterms:W3CDTF">2025-12-12T01:49:00Z</dcterms:modified>
  <cp:category/>
</cp:coreProperties>
</file>