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2FB4" w14:textId="77777777" w:rsidR="00804D62" w:rsidRDefault="00804D62" w:rsidP="00804D62">
      <w:pPr>
        <w:jc w:val="right"/>
      </w:pPr>
      <w:bookmarkStart w:id="0" w:name="_Hlk215924545"/>
      <w:r>
        <w:rPr>
          <w:noProof/>
        </w:rPr>
        <w:drawing>
          <wp:inline distT="0" distB="0" distL="0" distR="0" wp14:anchorId="145E1CB4" wp14:editId="797FD93D">
            <wp:extent cx="1746250" cy="417643"/>
            <wp:effectExtent l="0" t="0" r="0" b="0"/>
            <wp:docPr id="124785818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5818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1E8A1" w14:textId="77777777" w:rsidR="00804D62" w:rsidRDefault="00804D62" w:rsidP="00804D62"/>
    <w:p w14:paraId="0F7306AC" w14:textId="5A99D8B8" w:rsidR="00804D62" w:rsidRPr="00804D62" w:rsidRDefault="00804D62" w:rsidP="00804D62">
      <w:pPr>
        <w:rPr>
          <w:rFonts w:ascii="Century Gothic" w:hAnsi="Century Gothic"/>
        </w:rPr>
      </w:pPr>
      <w:r w:rsidRPr="00804D62">
        <w:rPr>
          <w:rFonts w:ascii="Century Gothic" w:hAnsi="Century Gothic"/>
        </w:rPr>
        <w:t xml:space="preserve">AUXO ACADEMY — </w:t>
      </w:r>
      <w:bookmarkEnd w:id="0"/>
      <w:r w:rsidR="00D51CDA">
        <w:rPr>
          <w:rFonts w:ascii="Century Gothic" w:hAnsi="Century Gothic"/>
        </w:rPr>
        <w:t>Addback Checklist</w:t>
      </w:r>
      <w:r w:rsidRPr="00804D62">
        <w:rPr>
          <w:rFonts w:ascii="Century Gothic" w:hAnsi="Century Gothic"/>
        </w:rPr>
        <w:t xml:space="preserve"> </w:t>
      </w:r>
    </w:p>
    <w:p w14:paraId="3D2FFCBE" w14:textId="530C06F0" w:rsidR="00D35F12" w:rsidRPr="00804D62" w:rsidRDefault="00000000" w:rsidP="00804D62">
      <w:pPr>
        <w:rPr>
          <w:rFonts w:ascii="Century Gothic" w:hAnsi="Century Gothic"/>
        </w:rPr>
      </w:pPr>
      <w:r w:rsidRPr="00804D62">
        <w:rPr>
          <w:rFonts w:ascii="Century Gothic" w:hAnsi="Century Gothic"/>
        </w:rPr>
        <w:t>Use this checklist to identify all owner-related, discretionary, one-time, and non-operating expenses that should be added back to determine true Seller’s Discretionary Earnings (SDE).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5"/>
        <w:gridCol w:w="1663"/>
        <w:gridCol w:w="1596"/>
        <w:gridCol w:w="1596"/>
        <w:gridCol w:w="2196"/>
      </w:tblGrid>
      <w:tr w:rsidR="00804D62" w:rsidRPr="00804D62" w14:paraId="1B9D3F2B" w14:textId="77777777">
        <w:tc>
          <w:tcPr>
            <w:tcW w:w="1728" w:type="dxa"/>
          </w:tcPr>
          <w:p w14:paraId="74FFEC59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Addback Category</w:t>
            </w:r>
          </w:p>
        </w:tc>
        <w:tc>
          <w:tcPr>
            <w:tcW w:w="1728" w:type="dxa"/>
          </w:tcPr>
          <w:p w14:paraId="191AFEAE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Description</w:t>
            </w:r>
          </w:p>
        </w:tc>
        <w:tc>
          <w:tcPr>
            <w:tcW w:w="1728" w:type="dxa"/>
          </w:tcPr>
          <w:p w14:paraId="3BA925DD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Included? (Y/N)</w:t>
            </w:r>
          </w:p>
        </w:tc>
        <w:tc>
          <w:tcPr>
            <w:tcW w:w="1728" w:type="dxa"/>
          </w:tcPr>
          <w:p w14:paraId="631E622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Amount</w:t>
            </w:r>
          </w:p>
        </w:tc>
        <w:tc>
          <w:tcPr>
            <w:tcW w:w="1728" w:type="dxa"/>
          </w:tcPr>
          <w:p w14:paraId="1FA86E54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Notes</w:t>
            </w:r>
          </w:p>
        </w:tc>
      </w:tr>
      <w:tr w:rsidR="00804D62" w:rsidRPr="00804D62" w14:paraId="05D706D6" w14:textId="77777777">
        <w:tc>
          <w:tcPr>
            <w:tcW w:w="1728" w:type="dxa"/>
          </w:tcPr>
          <w:p w14:paraId="7A8D265D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Owner Compensation</w:t>
            </w:r>
          </w:p>
        </w:tc>
        <w:tc>
          <w:tcPr>
            <w:tcW w:w="1728" w:type="dxa"/>
          </w:tcPr>
          <w:p w14:paraId="1405C482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Excess salary above market rate</w:t>
            </w:r>
          </w:p>
        </w:tc>
        <w:tc>
          <w:tcPr>
            <w:tcW w:w="1728" w:type="dxa"/>
          </w:tcPr>
          <w:p w14:paraId="3C50797B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76513DBF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25BAAEF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2159CB2E" w14:textId="77777777">
        <w:tc>
          <w:tcPr>
            <w:tcW w:w="1728" w:type="dxa"/>
          </w:tcPr>
          <w:p w14:paraId="252DEFB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Owner Benefits</w:t>
            </w:r>
          </w:p>
        </w:tc>
        <w:tc>
          <w:tcPr>
            <w:tcW w:w="1728" w:type="dxa"/>
          </w:tcPr>
          <w:p w14:paraId="6E51631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Health insurance, retirement, perks</w:t>
            </w:r>
          </w:p>
        </w:tc>
        <w:tc>
          <w:tcPr>
            <w:tcW w:w="1728" w:type="dxa"/>
          </w:tcPr>
          <w:p w14:paraId="43536AFB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723C0250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03319CD2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630086B8" w14:textId="77777777">
        <w:tc>
          <w:tcPr>
            <w:tcW w:w="1728" w:type="dxa"/>
          </w:tcPr>
          <w:p w14:paraId="0CD4619C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Family on Payroll</w:t>
            </w:r>
          </w:p>
        </w:tc>
        <w:tc>
          <w:tcPr>
            <w:tcW w:w="1728" w:type="dxa"/>
          </w:tcPr>
          <w:p w14:paraId="4AB1432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Non-essential involvement</w:t>
            </w:r>
          </w:p>
        </w:tc>
        <w:tc>
          <w:tcPr>
            <w:tcW w:w="1728" w:type="dxa"/>
          </w:tcPr>
          <w:p w14:paraId="0D6968AA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1FE0F828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149CEB6E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0572A147" w14:textId="77777777">
        <w:tc>
          <w:tcPr>
            <w:tcW w:w="1728" w:type="dxa"/>
          </w:tcPr>
          <w:p w14:paraId="263D1DAF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Personal Expenses</w:t>
            </w:r>
          </w:p>
        </w:tc>
        <w:tc>
          <w:tcPr>
            <w:tcW w:w="1728" w:type="dxa"/>
          </w:tcPr>
          <w:p w14:paraId="11A87814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Travel, meals, auto, phone</w:t>
            </w:r>
          </w:p>
        </w:tc>
        <w:tc>
          <w:tcPr>
            <w:tcW w:w="1728" w:type="dxa"/>
          </w:tcPr>
          <w:p w14:paraId="07133EE8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08610122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0C752755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7632DA39" w14:textId="77777777">
        <w:tc>
          <w:tcPr>
            <w:tcW w:w="1728" w:type="dxa"/>
          </w:tcPr>
          <w:p w14:paraId="19A1D984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One-Time Expenses</w:t>
            </w:r>
          </w:p>
        </w:tc>
        <w:tc>
          <w:tcPr>
            <w:tcW w:w="1728" w:type="dxa"/>
          </w:tcPr>
          <w:p w14:paraId="712263AF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Legal fees, renovations, consulting</w:t>
            </w:r>
          </w:p>
        </w:tc>
        <w:tc>
          <w:tcPr>
            <w:tcW w:w="1728" w:type="dxa"/>
          </w:tcPr>
          <w:p w14:paraId="4F571C65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5BE9373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1CF821BC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2C47F255" w14:textId="77777777">
        <w:tc>
          <w:tcPr>
            <w:tcW w:w="1728" w:type="dxa"/>
          </w:tcPr>
          <w:p w14:paraId="17EAAE00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Non-Operating Expenses</w:t>
            </w:r>
          </w:p>
        </w:tc>
        <w:tc>
          <w:tcPr>
            <w:tcW w:w="1728" w:type="dxa"/>
          </w:tcPr>
          <w:p w14:paraId="2122020E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Unrelated business costs</w:t>
            </w:r>
          </w:p>
        </w:tc>
        <w:tc>
          <w:tcPr>
            <w:tcW w:w="1728" w:type="dxa"/>
          </w:tcPr>
          <w:p w14:paraId="30B5949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41119BCD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5B92DD7D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3467C5C3" w14:textId="77777777">
        <w:tc>
          <w:tcPr>
            <w:tcW w:w="1728" w:type="dxa"/>
          </w:tcPr>
          <w:p w14:paraId="5F286C4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Depreciation</w:t>
            </w:r>
          </w:p>
        </w:tc>
        <w:tc>
          <w:tcPr>
            <w:tcW w:w="1728" w:type="dxa"/>
          </w:tcPr>
          <w:p w14:paraId="2CCE27D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Non-cash expense</w:t>
            </w:r>
          </w:p>
        </w:tc>
        <w:tc>
          <w:tcPr>
            <w:tcW w:w="1728" w:type="dxa"/>
          </w:tcPr>
          <w:p w14:paraId="7BDA8930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09CDF7D8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3DA9C142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3AD5B525" w14:textId="77777777">
        <w:tc>
          <w:tcPr>
            <w:tcW w:w="1728" w:type="dxa"/>
          </w:tcPr>
          <w:p w14:paraId="0C1A99F1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Interest</w:t>
            </w:r>
          </w:p>
        </w:tc>
        <w:tc>
          <w:tcPr>
            <w:tcW w:w="1728" w:type="dxa"/>
          </w:tcPr>
          <w:p w14:paraId="73906CB1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Financing cost excluded from SDE</w:t>
            </w:r>
          </w:p>
        </w:tc>
        <w:tc>
          <w:tcPr>
            <w:tcW w:w="1728" w:type="dxa"/>
          </w:tcPr>
          <w:p w14:paraId="06A6C0B5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463BA3B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790473A7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  <w:tr w:rsidR="00804D62" w:rsidRPr="00804D62" w14:paraId="6A7AE2F5" w14:textId="77777777">
        <w:tc>
          <w:tcPr>
            <w:tcW w:w="1728" w:type="dxa"/>
          </w:tcPr>
          <w:p w14:paraId="33932070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lastRenderedPageBreak/>
              <w:t>Extraordinary Items</w:t>
            </w:r>
          </w:p>
        </w:tc>
        <w:tc>
          <w:tcPr>
            <w:tcW w:w="1728" w:type="dxa"/>
          </w:tcPr>
          <w:p w14:paraId="2E5033EB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Non-recurring unusual expenses</w:t>
            </w:r>
          </w:p>
        </w:tc>
        <w:tc>
          <w:tcPr>
            <w:tcW w:w="1728" w:type="dxa"/>
          </w:tcPr>
          <w:p w14:paraId="55E47FEF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3A0CCB31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</w:t>
            </w:r>
          </w:p>
        </w:tc>
        <w:tc>
          <w:tcPr>
            <w:tcW w:w="1728" w:type="dxa"/>
          </w:tcPr>
          <w:p w14:paraId="17DBE8B3" w14:textId="77777777" w:rsidR="00D35F12" w:rsidRPr="00804D62" w:rsidRDefault="00000000">
            <w:pPr>
              <w:rPr>
                <w:rFonts w:ascii="Century Gothic" w:hAnsi="Century Gothic"/>
              </w:rPr>
            </w:pPr>
            <w:r w:rsidRPr="00804D62">
              <w:rPr>
                <w:rFonts w:ascii="Century Gothic" w:hAnsi="Century Gothic"/>
              </w:rPr>
              <w:t>__________________</w:t>
            </w:r>
          </w:p>
        </w:tc>
      </w:tr>
    </w:tbl>
    <w:p w14:paraId="0761B93C" w14:textId="77777777" w:rsidR="00AC144D" w:rsidRPr="00804D62" w:rsidRDefault="00AC144D">
      <w:pPr>
        <w:rPr>
          <w:rFonts w:ascii="Century Gothic" w:hAnsi="Century Gothic"/>
        </w:rPr>
      </w:pPr>
    </w:p>
    <w:sectPr w:rsidR="00AC144D" w:rsidRPr="00804D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0994962">
    <w:abstractNumId w:val="8"/>
  </w:num>
  <w:num w:numId="2" w16cid:durableId="853225325">
    <w:abstractNumId w:val="6"/>
  </w:num>
  <w:num w:numId="3" w16cid:durableId="446971663">
    <w:abstractNumId w:val="5"/>
  </w:num>
  <w:num w:numId="4" w16cid:durableId="1129006655">
    <w:abstractNumId w:val="4"/>
  </w:num>
  <w:num w:numId="5" w16cid:durableId="2014644941">
    <w:abstractNumId w:val="7"/>
  </w:num>
  <w:num w:numId="6" w16cid:durableId="13465957">
    <w:abstractNumId w:val="3"/>
  </w:num>
  <w:num w:numId="7" w16cid:durableId="1689795393">
    <w:abstractNumId w:val="2"/>
  </w:num>
  <w:num w:numId="8" w16cid:durableId="1889300543">
    <w:abstractNumId w:val="1"/>
  </w:num>
  <w:num w:numId="9" w16cid:durableId="92373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4D62"/>
    <w:rsid w:val="00AA1D8D"/>
    <w:rsid w:val="00AC144D"/>
    <w:rsid w:val="00B47730"/>
    <w:rsid w:val="00CB0664"/>
    <w:rsid w:val="00D35F12"/>
    <w:rsid w:val="00D51CDA"/>
    <w:rsid w:val="00EF6F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F37E3"/>
  <w14:defaultImageDpi w14:val="300"/>
  <w15:docId w15:val="{4ED07BBB-4B35-4874-A15A-E85745FA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964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Nevens</cp:lastModifiedBy>
  <cp:revision>3</cp:revision>
  <dcterms:created xsi:type="dcterms:W3CDTF">2013-12-23T23:15:00Z</dcterms:created>
  <dcterms:modified xsi:type="dcterms:W3CDTF">2025-12-12T01:50:00Z</dcterms:modified>
  <cp:category/>
</cp:coreProperties>
</file>